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5850DE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  <w:lang w:val="ru-RU"/>
        </w:rPr>
        <w:t>СОЦ</w:t>
      </w:r>
      <w:r>
        <w:rPr>
          <w:b/>
          <w:color w:val="222222"/>
          <w:sz w:val="36"/>
          <w:szCs w:val="36"/>
          <w:shd w:val="clear" w:color="auto" w:fill="FFFFFF"/>
        </w:rPr>
        <w:t>ІАЛЬНА</w:t>
      </w:r>
      <w:r w:rsidR="00EF2E9E">
        <w:rPr>
          <w:b/>
          <w:color w:val="222222"/>
          <w:sz w:val="36"/>
          <w:szCs w:val="36"/>
          <w:shd w:val="clear" w:color="auto" w:fill="FFFFFF"/>
        </w:rPr>
        <w:t xml:space="preserve"> ЕКСПЕРТИЗА ТА АУДИТ</w:t>
      </w:r>
      <w:r w:rsidR="00022B51">
        <w:rPr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F2E9E">
        <w:rPr>
          <w:sz w:val="24"/>
        </w:rPr>
        <w:t>3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Pr="00E425BA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E425BA">
        <w:rPr>
          <w:sz w:val="24"/>
        </w:rPr>
        <w:t>і</w:t>
      </w:r>
      <w:r w:rsidR="00E425BA">
        <w:rPr>
          <w:sz w:val="24"/>
          <w:lang w:val="ru-RU"/>
        </w:rPr>
        <w:t>спит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Pr="009677D8">
        <w:rPr>
          <w:sz w:val="24"/>
        </w:rPr>
        <w:t>доц. Мазурик О.В.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EF2E9E" w:rsidRDefault="00EF2E9E" w:rsidP="00CD2C0B">
      <w:pPr>
        <w:suppressAutoHyphens w:val="0"/>
        <w:spacing w:after="200" w:line="276" w:lineRule="auto"/>
        <w:rPr>
          <w:sz w:val="24"/>
        </w:rPr>
      </w:pP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980F98" w:rsidRPr="001551F5" w:rsidRDefault="00EA3A0F" w:rsidP="00BF0874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5850DE" w:rsidRPr="001551F5">
        <w:rPr>
          <w:rFonts w:cs="Times New Roman"/>
          <w:sz w:val="24"/>
          <w:lang w:eastAsia="uk-UA"/>
        </w:rPr>
        <w:t xml:space="preserve">формування у студентів фундаментальних уявлень і базових знань щодо </w:t>
      </w:r>
      <w:r w:rsidR="00980F98" w:rsidRPr="001551F5">
        <w:rPr>
          <w:rFonts w:cs="Times New Roman"/>
          <w:sz w:val="24"/>
          <w:lang w:eastAsia="uk-UA"/>
        </w:rPr>
        <w:t xml:space="preserve">соціальної експертизи </w:t>
      </w:r>
      <w:r w:rsidR="005747E5">
        <w:rPr>
          <w:rFonts w:cs="Times New Roman"/>
          <w:sz w:val="24"/>
          <w:lang w:eastAsia="uk-UA"/>
        </w:rPr>
        <w:t>та</w:t>
      </w:r>
      <w:r w:rsidR="00980F98" w:rsidRPr="001551F5">
        <w:rPr>
          <w:rFonts w:cs="Times New Roman"/>
          <w:sz w:val="24"/>
          <w:lang w:eastAsia="uk-UA"/>
        </w:rPr>
        <w:t xml:space="preserve"> соціального аудиту як ефективних </w:t>
      </w:r>
      <w:r w:rsidR="00B211E4" w:rsidRPr="001551F5">
        <w:rPr>
          <w:rFonts w:cs="Times New Roman"/>
          <w:sz w:val="24"/>
          <w:lang w:eastAsia="uk-UA"/>
        </w:rPr>
        <w:t>методів</w:t>
      </w:r>
      <w:r w:rsidR="00980F98" w:rsidRPr="001551F5">
        <w:rPr>
          <w:rFonts w:cs="Times New Roman"/>
          <w:sz w:val="24"/>
          <w:lang w:eastAsia="uk-UA"/>
        </w:rPr>
        <w:t xml:space="preserve"> управління </w:t>
      </w:r>
      <w:r w:rsidR="00B211E4" w:rsidRPr="001551F5">
        <w:rPr>
          <w:rFonts w:cs="Times New Roman"/>
          <w:sz w:val="24"/>
          <w:lang w:eastAsia="uk-UA"/>
        </w:rPr>
        <w:t>соціальною сферою, інструментів</w:t>
      </w:r>
      <w:r w:rsidR="00980F98" w:rsidRPr="001551F5">
        <w:rPr>
          <w:rFonts w:cs="Times New Roman"/>
          <w:sz w:val="24"/>
          <w:lang w:eastAsia="uk-UA"/>
        </w:rPr>
        <w:t xml:space="preserve"> </w:t>
      </w:r>
      <w:r w:rsidR="00B211E4" w:rsidRPr="001551F5">
        <w:rPr>
          <w:rFonts w:cs="Times New Roman"/>
          <w:sz w:val="24"/>
          <w:lang w:eastAsia="uk-UA"/>
        </w:rPr>
        <w:t xml:space="preserve">удосконалення </w:t>
      </w:r>
      <w:r w:rsidR="00980F98" w:rsidRPr="001551F5">
        <w:rPr>
          <w:rFonts w:cs="Times New Roman"/>
          <w:sz w:val="24"/>
          <w:lang w:eastAsia="uk-UA"/>
        </w:rPr>
        <w:t>соціального супроводу</w:t>
      </w:r>
      <w:r w:rsidR="00B211E4" w:rsidRPr="001551F5">
        <w:rPr>
          <w:rFonts w:cs="Times New Roman"/>
          <w:sz w:val="24"/>
          <w:lang w:eastAsia="uk-UA"/>
        </w:rPr>
        <w:t xml:space="preserve"> управлінської діяльності, а також певних практичних умінь в організації соціальної експертизи та соціального аудиту, використання їх результатів. </w:t>
      </w:r>
    </w:p>
    <w:p w:rsidR="00980F98" w:rsidRPr="005747E5" w:rsidRDefault="00980F98" w:rsidP="00BF0874">
      <w:pPr>
        <w:suppressAutoHyphens w:val="0"/>
        <w:jc w:val="both"/>
        <w:rPr>
          <w:b/>
          <w:sz w:val="24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936EC9" w:rsidRPr="00936EC9" w:rsidRDefault="00EA3A0F" w:rsidP="00EA3A0F">
      <w:pPr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5850DE">
        <w:rPr>
          <w:sz w:val="24"/>
        </w:rPr>
        <w:t>Соціальна експертиза та аудит</w:t>
      </w:r>
      <w:r w:rsidRPr="00105644">
        <w:rPr>
          <w:sz w:val="24"/>
        </w:rPr>
        <w:t>» входить до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Соціальна експертиза та аудит</w:t>
      </w:r>
      <w:r w:rsidRPr="00105644">
        <w:rPr>
          <w:sz w:val="24"/>
        </w:rPr>
        <w:t>». Вона передбачає вивчення</w:t>
      </w:r>
      <w:r w:rsidR="001D64FD">
        <w:rPr>
          <w:sz w:val="24"/>
        </w:rPr>
        <w:t xml:space="preserve"> </w:t>
      </w:r>
      <w:r w:rsidR="00482DD3">
        <w:rPr>
          <w:sz w:val="24"/>
        </w:rPr>
        <w:t xml:space="preserve">теоретико-методологічних </w:t>
      </w:r>
      <w:r w:rsidR="00B6692F">
        <w:rPr>
          <w:sz w:val="24"/>
        </w:rPr>
        <w:t>засад проведення соціальної експертизи та аудиту</w:t>
      </w:r>
      <w:r w:rsidR="00357B06">
        <w:rPr>
          <w:sz w:val="24"/>
        </w:rPr>
        <w:t xml:space="preserve">, понятійно-категоріального апарату, принципів </w:t>
      </w:r>
      <w:r w:rsidR="00B6692F">
        <w:rPr>
          <w:sz w:val="24"/>
        </w:rPr>
        <w:t>організації соціальної експертизи та аудиту, що  забезпечують їх ефективність.</w:t>
      </w:r>
      <w:r w:rsidR="00357B06">
        <w:rPr>
          <w:sz w:val="24"/>
        </w:rPr>
        <w:t xml:space="preserve"> </w:t>
      </w:r>
      <w:r w:rsidR="001224E2">
        <w:rPr>
          <w:sz w:val="24"/>
        </w:rPr>
        <w:t>У межах</w:t>
      </w:r>
      <w:r>
        <w:rPr>
          <w:sz w:val="24"/>
        </w:rPr>
        <w:t xml:space="preserve"> вивчення </w:t>
      </w:r>
      <w:r w:rsidR="001224E2">
        <w:rPr>
          <w:sz w:val="24"/>
        </w:rPr>
        <w:t xml:space="preserve">даної </w:t>
      </w:r>
      <w:r>
        <w:rPr>
          <w:sz w:val="24"/>
        </w:rPr>
        <w:t>д</w:t>
      </w:r>
      <w:r w:rsidR="005E7ED1">
        <w:rPr>
          <w:sz w:val="24"/>
        </w:rPr>
        <w:t>исципліни передбачається закріплення</w:t>
      </w:r>
      <w:r w:rsidRPr="00E412BD">
        <w:rPr>
          <w:sz w:val="24"/>
        </w:rPr>
        <w:t xml:space="preserve"> студентами</w:t>
      </w:r>
      <w:r w:rsidR="001224E2">
        <w:rPr>
          <w:sz w:val="24"/>
        </w:rPr>
        <w:t xml:space="preserve"> вмінь і навичок опрацювання</w:t>
      </w:r>
      <w:r w:rsidR="000C5B7C">
        <w:rPr>
          <w:sz w:val="24"/>
        </w:rPr>
        <w:t xml:space="preserve"> </w:t>
      </w:r>
      <w:r w:rsidR="001224E2">
        <w:rPr>
          <w:sz w:val="24"/>
        </w:rPr>
        <w:t>сучасної наукової</w:t>
      </w:r>
      <w:r>
        <w:rPr>
          <w:sz w:val="24"/>
        </w:rPr>
        <w:t xml:space="preserve"> літера</w:t>
      </w:r>
      <w:r w:rsidR="001224E2">
        <w:rPr>
          <w:sz w:val="24"/>
        </w:rPr>
        <w:t>тури</w:t>
      </w:r>
      <w:r w:rsidR="005E7ED1">
        <w:rPr>
          <w:sz w:val="24"/>
        </w:rPr>
        <w:t xml:space="preserve">, критичного осмислення місця і ролі </w:t>
      </w:r>
      <w:r w:rsidR="00B6692F">
        <w:rPr>
          <w:sz w:val="24"/>
        </w:rPr>
        <w:t>соціальної експертизи та аудиту як видів аналітичної, оціночної та прогностичної діяльності</w:t>
      </w:r>
      <w:r w:rsidR="00357B06">
        <w:rPr>
          <w:sz w:val="24"/>
        </w:rPr>
        <w:t xml:space="preserve">. </w:t>
      </w:r>
      <w:r w:rsidR="001224E2">
        <w:rPr>
          <w:sz w:val="24"/>
        </w:rPr>
        <w:t>Отримані знання і</w:t>
      </w:r>
      <w:r>
        <w:rPr>
          <w:sz w:val="24"/>
        </w:rPr>
        <w:t xml:space="preserve"> навички сприятимуть підвищенню фахового рівня та професійної компетентності майбутніх</w:t>
      </w:r>
      <w:r w:rsidR="001224E2">
        <w:rPr>
          <w:sz w:val="24"/>
        </w:rPr>
        <w:t xml:space="preserve"> магістрі</w:t>
      </w:r>
      <w:r w:rsidR="001224E2" w:rsidRPr="001224E2">
        <w:rPr>
          <w:sz w:val="24"/>
        </w:rPr>
        <w:t>в</w:t>
      </w:r>
      <w:r w:rsidR="001224E2">
        <w:rPr>
          <w:sz w:val="24"/>
        </w:rPr>
        <w:t xml:space="preserve"> соціології </w:t>
      </w:r>
      <w:r w:rsidR="001224E2" w:rsidRPr="00357B06">
        <w:rPr>
          <w:sz w:val="24"/>
        </w:rPr>
        <w:t>у п</w:t>
      </w:r>
      <w:r w:rsidR="00656542" w:rsidRPr="00357B06">
        <w:rPr>
          <w:sz w:val="24"/>
        </w:rPr>
        <w:t>роцесі</w:t>
      </w:r>
      <w:r w:rsidR="001224E2" w:rsidRPr="00357B06">
        <w:rPr>
          <w:sz w:val="24"/>
        </w:rPr>
        <w:t xml:space="preserve"> здійснення</w:t>
      </w:r>
      <w:r w:rsidRPr="00357B06">
        <w:rPr>
          <w:sz w:val="24"/>
        </w:rPr>
        <w:t xml:space="preserve"> </w:t>
      </w:r>
      <w:r w:rsidR="00B6692F">
        <w:rPr>
          <w:sz w:val="24"/>
        </w:rPr>
        <w:t>соціальної</w:t>
      </w:r>
      <w:r w:rsidR="00357B06" w:rsidRPr="00357B06">
        <w:rPr>
          <w:sz w:val="24"/>
        </w:rPr>
        <w:t xml:space="preserve"> експертизи та аудиту </w:t>
      </w:r>
      <w:r w:rsidR="00B6692F">
        <w:rPr>
          <w:sz w:val="24"/>
        </w:rPr>
        <w:t>у різних сферах соціального управління</w:t>
      </w:r>
      <w:r w:rsidR="00357B06" w:rsidRPr="00357B06">
        <w:rPr>
          <w:sz w:val="24"/>
        </w:rPr>
        <w:t xml:space="preserve"> з метою </w:t>
      </w:r>
      <w:r w:rsidR="00821F06">
        <w:rPr>
          <w:sz w:val="24"/>
        </w:rPr>
        <w:t>пошуку оптимального вирішення певних завдань, які відповідають заданим пріоритетам та критеріям.</w:t>
      </w:r>
      <w:r w:rsidR="004826FB">
        <w:rPr>
          <w:sz w:val="24"/>
        </w:rPr>
        <w:t xml:space="preserve"> </w:t>
      </w:r>
      <w:r w:rsidRPr="00936EC9">
        <w:rPr>
          <w:sz w:val="24"/>
        </w:rPr>
        <w:t>Програма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1 «</w:t>
      </w:r>
      <w:r w:rsidR="00821F06" w:rsidRPr="00821F06">
        <w:rPr>
          <w:sz w:val="24"/>
        </w:rPr>
        <w:t>Соціальна експертиза як вид аналітичної, оціночної та прогнозної діяльності</w:t>
      </w:r>
      <w:r w:rsidR="00936EC9" w:rsidRPr="00936EC9">
        <w:rPr>
          <w:sz w:val="24"/>
        </w:rPr>
        <w:t>»</w:t>
      </w:r>
      <w:r w:rsidR="00AE41BE"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="00AE41BE" w:rsidRPr="00936EC9">
        <w:rPr>
          <w:sz w:val="24"/>
        </w:rPr>
        <w:t>частина 2 «</w:t>
      </w:r>
      <w:r w:rsidR="00821F06" w:rsidRPr="00821F06">
        <w:rPr>
          <w:sz w:val="24"/>
        </w:rPr>
        <w:t>Теорія і практика соціального аудиту</w:t>
      </w:r>
      <w:r w:rsidR="00936EC9" w:rsidRPr="00936EC9">
        <w:rPr>
          <w:sz w:val="24"/>
        </w:rPr>
        <w:t xml:space="preserve">». </w:t>
      </w:r>
    </w:p>
    <w:p w:rsidR="00821F06" w:rsidRDefault="00821F06" w:rsidP="00EA3A0F">
      <w:pPr>
        <w:jc w:val="both"/>
        <w:rPr>
          <w:b/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52344E" w:rsidRPr="00CC0850" w:rsidRDefault="00AE41B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EA3A0F" w:rsidRPr="00CC0850">
        <w:rPr>
          <w:sz w:val="24"/>
        </w:rPr>
        <w:t xml:space="preserve">надання студентам </w:t>
      </w:r>
      <w:r w:rsidR="00CC0850">
        <w:rPr>
          <w:sz w:val="24"/>
        </w:rPr>
        <w:t xml:space="preserve">ґрунтовних </w:t>
      </w:r>
      <w:r w:rsidR="0078415C" w:rsidRPr="00CC0850">
        <w:rPr>
          <w:sz w:val="24"/>
        </w:rPr>
        <w:t>знань про</w:t>
      </w:r>
      <w:r w:rsidR="00CC0850">
        <w:t xml:space="preserve"> </w:t>
      </w:r>
      <w:r w:rsidR="00CC0850">
        <w:rPr>
          <w:sz w:val="24"/>
        </w:rPr>
        <w:t xml:space="preserve">теоретико-методологічні засади, </w:t>
      </w:r>
      <w:r w:rsidR="00CC0850" w:rsidRPr="00CC0850">
        <w:rPr>
          <w:sz w:val="24"/>
        </w:rPr>
        <w:t>основні поняття і категорії,</w:t>
      </w:r>
      <w:r w:rsidR="00CC0850">
        <w:rPr>
          <w:sz w:val="24"/>
        </w:rPr>
        <w:t xml:space="preserve"> а також про перспективи застосування </w:t>
      </w:r>
      <w:r w:rsidR="00E73109">
        <w:rPr>
          <w:sz w:val="24"/>
        </w:rPr>
        <w:t>соціальної</w:t>
      </w:r>
      <w:r w:rsidR="00CC0850" w:rsidRPr="00CC0850">
        <w:rPr>
          <w:sz w:val="24"/>
        </w:rPr>
        <w:t xml:space="preserve"> експертизи та аудиту </w:t>
      </w:r>
      <w:r w:rsidR="00E73109">
        <w:rPr>
          <w:sz w:val="24"/>
        </w:rPr>
        <w:t>різних управлінських рішень, які мають явні та латентні соціальні наслідки</w:t>
      </w:r>
      <w:r w:rsidR="0052344E" w:rsidRPr="00CC0850">
        <w:rPr>
          <w:sz w:val="24"/>
        </w:rPr>
        <w:t>;</w:t>
      </w:r>
      <w:r w:rsidRPr="00CC0850">
        <w:rPr>
          <w:sz w:val="24"/>
        </w:rPr>
        <w:tab/>
      </w:r>
    </w:p>
    <w:p w:rsidR="00E73109" w:rsidRDefault="0052344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8D28A9" w:rsidRPr="00CC0850">
        <w:rPr>
          <w:sz w:val="24"/>
        </w:rPr>
        <w:t>набуття студента</w:t>
      </w:r>
      <w:r w:rsidR="00EA3A0F" w:rsidRPr="00CC0850">
        <w:rPr>
          <w:sz w:val="24"/>
        </w:rPr>
        <w:t xml:space="preserve">ми необхідних умінь і навичок застосування </w:t>
      </w:r>
      <w:r w:rsidR="00E73109">
        <w:rPr>
          <w:sz w:val="24"/>
        </w:rPr>
        <w:t>відповідних видів та моделей соціальної експертизи та соціального аудиту  залежно від цілей, об</w:t>
      </w:r>
      <w:r w:rsidR="00E73109">
        <w:rPr>
          <w:rFonts w:cs="Times New Roman"/>
          <w:sz w:val="24"/>
        </w:rPr>
        <w:t>'</w:t>
      </w:r>
      <w:r w:rsidR="00E73109">
        <w:rPr>
          <w:sz w:val="24"/>
        </w:rPr>
        <w:t>єктів, методів та засобів соціальної політики;</w:t>
      </w:r>
    </w:p>
    <w:p w:rsidR="00ED7A35" w:rsidRDefault="00EA3A0F" w:rsidP="00EA3A0F">
      <w:pPr>
        <w:jc w:val="both"/>
        <w:rPr>
          <w:sz w:val="24"/>
        </w:rPr>
      </w:pPr>
      <w:r w:rsidRPr="00CC0850">
        <w:rPr>
          <w:sz w:val="24"/>
        </w:rPr>
        <w:tab/>
        <w:t>розширення наукового кругозор</w:t>
      </w:r>
      <w:r w:rsidR="008272EF" w:rsidRPr="00CC0850">
        <w:rPr>
          <w:sz w:val="24"/>
        </w:rPr>
        <w:t xml:space="preserve">у </w:t>
      </w:r>
      <w:r w:rsidR="000E611F" w:rsidRPr="00CC0850">
        <w:rPr>
          <w:sz w:val="24"/>
        </w:rPr>
        <w:t xml:space="preserve">студентів </w:t>
      </w:r>
      <w:r w:rsidR="008272EF" w:rsidRPr="00CC0850">
        <w:rPr>
          <w:sz w:val="24"/>
        </w:rPr>
        <w:t>щодо характеру</w:t>
      </w:r>
      <w:r w:rsidR="00D64300" w:rsidRPr="00CC0850">
        <w:rPr>
          <w:sz w:val="24"/>
        </w:rPr>
        <w:t xml:space="preserve"> та</w:t>
      </w:r>
      <w:r w:rsidR="008272EF" w:rsidRPr="00CC0850">
        <w:rPr>
          <w:sz w:val="24"/>
        </w:rPr>
        <w:t xml:space="preserve"> особливостей</w:t>
      </w:r>
      <w:r w:rsidR="000C5B7C" w:rsidRPr="00CC0850">
        <w:rPr>
          <w:sz w:val="24"/>
        </w:rPr>
        <w:t xml:space="preserve"> </w:t>
      </w:r>
      <w:r w:rsidR="00ED7A35">
        <w:rPr>
          <w:sz w:val="24"/>
        </w:rPr>
        <w:t xml:space="preserve">соціальної експертизи та аудиту </w:t>
      </w:r>
      <w:r w:rsidR="00D64300" w:rsidRPr="00CC0850">
        <w:rPr>
          <w:sz w:val="24"/>
        </w:rPr>
        <w:t>як інструментального чинника соціальних перетворень</w:t>
      </w:r>
      <w:r w:rsidR="00ED7A35">
        <w:rPr>
          <w:sz w:val="24"/>
        </w:rPr>
        <w:t xml:space="preserve"> у системі </w:t>
      </w:r>
      <w:r w:rsidR="00E73109">
        <w:rPr>
          <w:sz w:val="24"/>
        </w:rPr>
        <w:t>соціального управління</w:t>
      </w:r>
      <w:r w:rsidR="00ED7A35">
        <w:rPr>
          <w:sz w:val="24"/>
        </w:rPr>
        <w:t xml:space="preserve">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414473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ФК-42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Pr="00414473">
        <w:rPr>
          <w:sz w:val="24"/>
          <w:lang w:eastAsia="uk-UA"/>
        </w:rPr>
        <w:t>Здатність застосовувати засоби соціальної діагностики для проведення соціальної експертизи та аудиту</w:t>
      </w:r>
      <w:r w:rsidR="00EA3A0F">
        <w:rPr>
          <w:sz w:val="24"/>
          <w:lang w:eastAsia="uk-UA"/>
        </w:rPr>
        <w:t>.</w:t>
      </w:r>
    </w:p>
    <w:p w:rsidR="00EA3A0F" w:rsidRDefault="00414473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ФК-43</w:t>
      </w:r>
      <w:r w:rsidR="00EA3A0F">
        <w:rPr>
          <w:sz w:val="24"/>
          <w:lang w:eastAsia="uk-UA"/>
        </w:rPr>
        <w:t xml:space="preserve">. </w:t>
      </w:r>
      <w:r>
        <w:rPr>
          <w:sz w:val="24"/>
          <w:lang w:eastAsia="uk-UA"/>
        </w:rPr>
        <w:t>Здатність</w:t>
      </w:r>
      <w:r w:rsidRPr="00414473">
        <w:rPr>
          <w:sz w:val="24"/>
          <w:lang w:eastAsia="uk-UA"/>
        </w:rPr>
        <w:t xml:space="preserve"> використання новітніх технологій суспільного контролю</w:t>
      </w:r>
      <w:r w:rsidR="00EA3A0F">
        <w:rPr>
          <w:sz w:val="24"/>
          <w:lang w:eastAsia="uk-UA"/>
        </w:rPr>
        <w:t>.</w:t>
      </w:r>
    </w:p>
    <w:p w:rsidR="00414473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414473">
        <w:rPr>
          <w:sz w:val="24"/>
          <w:lang w:eastAsia="uk-UA"/>
        </w:rPr>
        <w:t>44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Здатність оцінювати</w:t>
      </w:r>
      <w:r w:rsidR="00414473" w:rsidRPr="00414473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ефективність</w:t>
      </w:r>
      <w:r w:rsidR="00414473" w:rsidRPr="00414473">
        <w:rPr>
          <w:sz w:val="24"/>
          <w:lang w:eastAsia="uk-UA"/>
        </w:rPr>
        <w:t xml:space="preserve"> соціальних політик та програм</w:t>
      </w:r>
      <w:r w:rsidR="00414473">
        <w:rPr>
          <w:sz w:val="24"/>
          <w:lang w:eastAsia="uk-UA"/>
        </w:rPr>
        <w:t>.</w:t>
      </w:r>
    </w:p>
    <w:p w:rsidR="00DA687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lastRenderedPageBreak/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дисциплін</w:t>
            </w:r>
            <w:r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52CD5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414473" w:rsidRPr="00414473">
              <w:rPr>
                <w:sz w:val="24"/>
              </w:rPr>
              <w:t>теоретико-методологічн</w:t>
            </w:r>
            <w:r w:rsidR="00414473">
              <w:rPr>
                <w:sz w:val="24"/>
              </w:rPr>
              <w:t>і</w:t>
            </w:r>
            <w:r w:rsidR="00414473" w:rsidRPr="00414473">
              <w:rPr>
                <w:sz w:val="24"/>
              </w:rPr>
              <w:t xml:space="preserve"> засад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>, понятійно-категоріальн</w:t>
            </w:r>
            <w:r w:rsidR="00414473">
              <w:rPr>
                <w:sz w:val="24"/>
              </w:rPr>
              <w:t>ий апарат та</w:t>
            </w:r>
            <w:r w:rsidR="00414473" w:rsidRPr="00414473">
              <w:rPr>
                <w:sz w:val="24"/>
              </w:rPr>
              <w:t xml:space="preserve"> принцип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</w:t>
            </w:r>
            <w:r w:rsidR="00452CD5">
              <w:rPr>
                <w:sz w:val="24"/>
              </w:rPr>
              <w:t>проведення соціальної експертизи та аудиту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52C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52CD5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D00" w:rsidRDefault="00EA3A0F" w:rsidP="00EA3A0F">
            <w:pPr>
              <w:rPr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принципи, со</w:t>
            </w:r>
            <w:r w:rsidR="00C11D00">
              <w:rPr>
                <w:sz w:val="24"/>
              </w:rPr>
              <w:t>ціальні умови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і механізми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проекту</w:t>
            </w:r>
            <w:r>
              <w:rPr>
                <w:sz w:val="24"/>
              </w:rPr>
              <w:t>вання</w:t>
            </w:r>
            <w:r w:rsidR="00414473">
              <w:rPr>
                <w:sz w:val="24"/>
              </w:rPr>
              <w:t xml:space="preserve"> та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реалізації</w:t>
            </w:r>
          </w:p>
          <w:p w:rsidR="00EA3A0F" w:rsidRDefault="00452CD5" w:rsidP="001E224B">
            <w:pPr>
              <w:rPr>
                <w:i/>
                <w:sz w:val="24"/>
              </w:rPr>
            </w:pPr>
            <w:r>
              <w:rPr>
                <w:sz w:val="24"/>
              </w:rPr>
              <w:t>соціальної експертизи та аудиту залежно від сфери застосування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5747E5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5747E5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4C607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</w:t>
            </w:r>
            <w:r w:rsidR="004C6074">
              <w:rPr>
                <w:sz w:val="24"/>
              </w:rPr>
              <w:t>ефективні методи та моделі проведення соціальної експертизи та аудиту</w:t>
            </w:r>
            <w:r w:rsidR="001E224B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залежно від мети та функцій соціальної експертизи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</w:t>
            </w:r>
            <w:r w:rsidR="004C6074">
              <w:rPr>
                <w:sz w:val="24"/>
              </w:rPr>
              <w:t>організаційно-методичні процедури проведення соціальної експертизи та аудиту</w:t>
            </w:r>
            <w:r w:rsidR="001E224B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презентувати </w:t>
            </w:r>
            <w:r w:rsidR="004C6074">
              <w:rPr>
                <w:sz w:val="24"/>
              </w:rPr>
              <w:t xml:space="preserve">аналітичні можливості соціальної експертизи та аудиту </w:t>
            </w:r>
            <w:r w:rsidR="001E224B" w:rsidRPr="001E224B">
              <w:rPr>
                <w:sz w:val="24"/>
              </w:rPr>
              <w:t xml:space="preserve">в системі </w:t>
            </w:r>
            <w:r w:rsidR="004C6074">
              <w:rPr>
                <w:sz w:val="24"/>
              </w:rPr>
              <w:t>соціального управління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самостійна робота, презентація </w:t>
            </w:r>
            <w:r w:rsidR="004C6074">
              <w:rPr>
                <w:sz w:val="24"/>
              </w:rPr>
              <w:t>дослідницького завдання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дослідн</w:t>
            </w:r>
            <w:r w:rsidR="004C6074">
              <w:rPr>
                <w:sz w:val="24"/>
              </w:rPr>
              <w:t>ицького</w:t>
            </w:r>
            <w:r w:rsidR="000C5B7C">
              <w:rPr>
                <w:sz w:val="24"/>
              </w:rPr>
              <w:t xml:space="preserve"> </w:t>
            </w:r>
          </w:p>
          <w:p w:rsidR="00EA3A0F" w:rsidRDefault="004C6074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4C6074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семінарські</w:t>
            </w:r>
            <w:r w:rsidR="00EA3A0F">
              <w:rPr>
                <w:sz w:val="24"/>
              </w:rPr>
              <w:t xml:space="preserve"> 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>Застосовувати засоби соціальної діагностики для проведення соціальної експертизи та аудиту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</w:t>
            </w:r>
            <w:r>
              <w:rPr>
                <w:rFonts w:cs="Times New Roman"/>
                <w:sz w:val="22"/>
                <w:szCs w:val="22"/>
              </w:rPr>
              <w:t xml:space="preserve"> 48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використання новітніх технологій суспільного контролю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49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оцінки ефективності соціальних політик та програм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50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</w:tbl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D50915">
        <w:rPr>
          <w:b/>
          <w:bCs/>
          <w:sz w:val="24"/>
        </w:rPr>
        <w:t>А) семестрове оцінювання: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A03F3A" w:rsidRPr="005C2015" w:rsidTr="00234004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A03F3A" w:rsidRPr="005C2015" w:rsidRDefault="00A03F3A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A03F3A" w:rsidRPr="005C2015" w:rsidRDefault="00A03F3A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A03F3A" w:rsidRPr="005C2015" w:rsidTr="00234004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A03F3A" w:rsidRPr="005C2015" w:rsidRDefault="00A03F3A" w:rsidP="00234004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A03F3A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</w:tr>
      <w:tr w:rsidR="00A03F3A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A03F3A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t xml:space="preserve">Присутність на лекційних та </w:t>
            </w:r>
            <w:r>
              <w:rPr>
                <w:rFonts w:cs="Times New Roman"/>
                <w:bCs/>
                <w:spacing w:val="-4"/>
                <w:sz w:val="24"/>
              </w:rPr>
              <w:t>семінарських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260804" w:rsidRDefault="00781AE8" w:rsidP="0023400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A03F3A" w:rsidRPr="00260804">
              <w:rPr>
                <w:rFonts w:cs="Times New Roman"/>
                <w:sz w:val="24"/>
              </w:rPr>
              <w:t xml:space="preserve">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23400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A03F3A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 w:rsidR="00781AE8"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A03F3A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234004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781AE8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«6</w:t>
            </w:r>
            <w:r w:rsidR="00A03F3A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>
              <w:rPr>
                <w:rFonts w:cs="Times New Roman"/>
                <w:bCs/>
                <w:sz w:val="24"/>
              </w:rPr>
              <w:t xml:space="preserve">0» х 1 = 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b/>
          <w:bCs/>
          <w:sz w:val="24"/>
        </w:rPr>
        <w:lastRenderedPageBreak/>
        <w:t xml:space="preserve"> </w:t>
      </w:r>
      <w:r w:rsidR="007D1F43" w:rsidRPr="00D50915">
        <w:rPr>
          <w:iCs/>
          <w:sz w:val="24"/>
        </w:rPr>
        <w:t>1) активна робота студентів</w:t>
      </w:r>
      <w:r w:rsidRPr="00D50915">
        <w:rPr>
          <w:iCs/>
          <w:sz w:val="24"/>
        </w:rPr>
        <w:t xml:space="preserve"> під час проведення семінарських занять </w:t>
      </w:r>
      <w:r w:rsidRPr="00315C57">
        <w:rPr>
          <w:iCs/>
          <w:sz w:val="24"/>
        </w:rPr>
        <w:t>(РН1.1; РН1.2; РН2.1; РН2.2)</w:t>
      </w:r>
      <w:r w:rsidR="000C5B7C" w:rsidRPr="00D50915">
        <w:rPr>
          <w:iCs/>
          <w:sz w:val="24"/>
          <w:lang w:val="ru-RU"/>
        </w:rPr>
        <w:t xml:space="preserve"> </w:t>
      </w:r>
      <w:r w:rsidRPr="00D50915">
        <w:rPr>
          <w:i/>
          <w:iCs/>
          <w:sz w:val="24"/>
        </w:rPr>
        <w:t>–</w:t>
      </w:r>
      <w:r w:rsidR="004718FF" w:rsidRPr="00D50915">
        <w:rPr>
          <w:i/>
          <w:iCs/>
          <w:sz w:val="24"/>
          <w:lang w:val="ru-RU"/>
        </w:rPr>
        <w:t xml:space="preserve"> </w:t>
      </w:r>
      <w:r w:rsidR="00781AE8">
        <w:rPr>
          <w:b/>
          <w:i/>
          <w:iCs/>
          <w:sz w:val="24"/>
        </w:rPr>
        <w:t>3</w:t>
      </w:r>
      <w:r w:rsidRPr="00D50915">
        <w:rPr>
          <w:b/>
          <w:i/>
          <w:iCs/>
          <w:sz w:val="24"/>
        </w:rPr>
        <w:t>0 балів</w:t>
      </w:r>
      <w:r w:rsidRPr="00D50915">
        <w:rPr>
          <w:i/>
          <w:iCs/>
          <w:sz w:val="24"/>
        </w:rPr>
        <w:t xml:space="preserve">, </w:t>
      </w:r>
      <w:r w:rsidR="009159E8" w:rsidRPr="00D50915">
        <w:rPr>
          <w:iCs/>
          <w:sz w:val="24"/>
        </w:rPr>
        <w:t xml:space="preserve">тобто </w:t>
      </w:r>
      <w:r w:rsidR="00F751AD">
        <w:rPr>
          <w:iCs/>
          <w:sz w:val="24"/>
        </w:rPr>
        <w:t>1</w:t>
      </w:r>
      <w:r w:rsidRPr="00D50915">
        <w:rPr>
          <w:iCs/>
          <w:sz w:val="24"/>
        </w:rPr>
        <w:t>0 з</w:t>
      </w:r>
      <w:r w:rsidR="009159E8" w:rsidRPr="00D50915">
        <w:rPr>
          <w:iCs/>
          <w:sz w:val="24"/>
        </w:rPr>
        <w:t xml:space="preserve">анять по </w:t>
      </w:r>
      <w:r w:rsidR="00781AE8">
        <w:rPr>
          <w:iCs/>
          <w:sz w:val="24"/>
        </w:rPr>
        <w:t>3</w:t>
      </w:r>
      <w:r w:rsidR="009159E8" w:rsidRPr="00D50915">
        <w:rPr>
          <w:iCs/>
          <w:sz w:val="24"/>
        </w:rPr>
        <w:t xml:space="preserve"> максимально балу</w:t>
      </w:r>
      <w:r w:rsidRPr="00D50915">
        <w:rPr>
          <w:iCs/>
          <w:sz w:val="24"/>
        </w:rPr>
        <w:t xml:space="preserve"> або </w:t>
      </w:r>
      <w:r w:rsidR="00781AE8">
        <w:rPr>
          <w:iCs/>
          <w:sz w:val="24"/>
        </w:rPr>
        <w:t>2</w:t>
      </w:r>
      <w:r w:rsidRPr="00D50915">
        <w:rPr>
          <w:iCs/>
          <w:sz w:val="24"/>
        </w:rPr>
        <w:t xml:space="preserve"> мінімальний бал за кожне</w:t>
      </w:r>
      <w:r w:rsidR="009159E8" w:rsidRPr="00D50915">
        <w:rPr>
          <w:iCs/>
          <w:sz w:val="24"/>
        </w:rPr>
        <w:t xml:space="preserve"> заняття</w:t>
      </w:r>
      <w:r w:rsidRPr="00D50915">
        <w:rPr>
          <w:iCs/>
          <w:sz w:val="24"/>
        </w:rPr>
        <w:t xml:space="preserve">; 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iCs/>
          <w:sz w:val="24"/>
        </w:rPr>
        <w:t>2) виконання</w:t>
      </w:r>
      <w:r w:rsidR="009159E8" w:rsidRPr="00D50915">
        <w:rPr>
          <w:iCs/>
          <w:sz w:val="24"/>
        </w:rPr>
        <w:t xml:space="preserve"> </w:t>
      </w:r>
      <w:r w:rsidR="00D50915" w:rsidRPr="00D50915">
        <w:rPr>
          <w:iCs/>
          <w:sz w:val="24"/>
        </w:rPr>
        <w:t>2</w:t>
      </w:r>
      <w:r w:rsidR="009159E8" w:rsidRPr="00D50915">
        <w:rPr>
          <w:iCs/>
          <w:sz w:val="24"/>
        </w:rPr>
        <w:t>-</w:t>
      </w:r>
      <w:r w:rsidR="007D1F43" w:rsidRPr="00D50915">
        <w:rPr>
          <w:iCs/>
          <w:sz w:val="24"/>
        </w:rPr>
        <w:t>х</w:t>
      </w:r>
      <w:r w:rsidR="00315C57">
        <w:rPr>
          <w:iCs/>
          <w:sz w:val="24"/>
        </w:rPr>
        <w:t xml:space="preserve"> модульних контрольних робіт (</w:t>
      </w:r>
      <w:r w:rsidRPr="00315C57">
        <w:rPr>
          <w:iCs/>
          <w:sz w:val="24"/>
        </w:rPr>
        <w:t>РН1.1; РН1.2; РН2.1; РН2.2; РН4</w:t>
      </w:r>
      <w:r w:rsidRPr="00D50915">
        <w:rPr>
          <w:iCs/>
          <w:sz w:val="24"/>
        </w:rPr>
        <w:t xml:space="preserve">) – </w:t>
      </w:r>
      <w:r w:rsidR="00781AE8">
        <w:rPr>
          <w:b/>
          <w:iCs/>
          <w:sz w:val="24"/>
        </w:rPr>
        <w:t>20</w:t>
      </w:r>
      <w:r w:rsidRPr="00D50915">
        <w:rPr>
          <w:b/>
          <w:iCs/>
          <w:sz w:val="24"/>
        </w:rPr>
        <w:t xml:space="preserve"> балів</w:t>
      </w:r>
      <w:r w:rsidR="007D1F43" w:rsidRPr="00D50915">
        <w:rPr>
          <w:iCs/>
          <w:sz w:val="24"/>
        </w:rPr>
        <w:t xml:space="preserve">, тобто </w:t>
      </w:r>
      <w:r w:rsidR="00D50915" w:rsidRPr="00D50915">
        <w:rPr>
          <w:iCs/>
          <w:sz w:val="24"/>
        </w:rPr>
        <w:t>дві</w:t>
      </w:r>
      <w:r w:rsidR="007D1F43" w:rsidRPr="00D50915">
        <w:rPr>
          <w:iCs/>
          <w:sz w:val="24"/>
        </w:rPr>
        <w:t xml:space="preserve"> роботи по </w:t>
      </w:r>
      <w:r w:rsidR="00781AE8">
        <w:rPr>
          <w:iCs/>
          <w:sz w:val="24"/>
        </w:rPr>
        <w:t>10</w:t>
      </w:r>
      <w:r w:rsidRPr="00D50915">
        <w:rPr>
          <w:iCs/>
          <w:sz w:val="24"/>
        </w:rPr>
        <w:t xml:space="preserve"> максимальних</w:t>
      </w:r>
      <w:r w:rsidR="007D1F43" w:rsidRPr="00D50915">
        <w:rPr>
          <w:iCs/>
          <w:sz w:val="24"/>
        </w:rPr>
        <w:t xml:space="preserve"> балів або по </w:t>
      </w:r>
      <w:r w:rsidR="00781AE8">
        <w:rPr>
          <w:iCs/>
          <w:sz w:val="24"/>
        </w:rPr>
        <w:t>6</w:t>
      </w:r>
      <w:r w:rsidR="007D1F43" w:rsidRPr="00D50915">
        <w:rPr>
          <w:iCs/>
          <w:sz w:val="24"/>
        </w:rPr>
        <w:t xml:space="preserve"> мінімальних бали</w:t>
      </w:r>
      <w:r w:rsidRPr="00D50915">
        <w:rPr>
          <w:iCs/>
          <w:sz w:val="24"/>
        </w:rPr>
        <w:t xml:space="preserve"> за кожну модульну контрольну роботу; </w:t>
      </w:r>
    </w:p>
    <w:p w:rsidR="00315C57" w:rsidRPr="00315C57" w:rsidRDefault="00EA3A0F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bCs/>
          <w:sz w:val="24"/>
        </w:rPr>
        <w:t xml:space="preserve">Б) </w:t>
      </w:r>
      <w:r w:rsidR="00315C57" w:rsidRPr="00315C57">
        <w:rPr>
          <w:b/>
          <w:sz w:val="24"/>
        </w:rPr>
        <w:t xml:space="preserve">- підсумкове оцінювання у формі </w:t>
      </w:r>
      <w:r w:rsidR="00E425BA">
        <w:rPr>
          <w:b/>
          <w:sz w:val="24"/>
        </w:rPr>
        <w:t>іспиту</w:t>
      </w:r>
      <w:r w:rsidR="00315C57" w:rsidRPr="00315C57">
        <w:rPr>
          <w:b/>
          <w:sz w:val="24"/>
        </w:rPr>
        <w:t xml:space="preserve"> </w:t>
      </w:r>
    </w:p>
    <w:p w:rsidR="00315C57" w:rsidRPr="00315C57" w:rsidRDefault="00315C57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sz w:val="24"/>
        </w:rPr>
        <w:t xml:space="preserve">- умови допуску до підсумкового </w:t>
      </w:r>
      <w:r w:rsidR="009178EA">
        <w:rPr>
          <w:b/>
          <w:sz w:val="24"/>
        </w:rPr>
        <w:t>оцінювання</w:t>
      </w:r>
      <w:r w:rsidRPr="00315C57">
        <w:rPr>
          <w:b/>
          <w:sz w:val="24"/>
        </w:rPr>
        <w:t>:</w:t>
      </w:r>
    </w:p>
    <w:p w:rsidR="005747E5" w:rsidRDefault="00F751AD" w:rsidP="005747E5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    Студент допускається до </w:t>
      </w:r>
      <w:r w:rsidR="00E425BA">
        <w:rPr>
          <w:sz w:val="24"/>
        </w:rPr>
        <w:t>іспиту</w:t>
      </w:r>
      <w:r>
        <w:rPr>
          <w:sz w:val="24"/>
        </w:rPr>
        <w:t xml:space="preserve">, якщо під час семестру набрав не менше 36 балів. Оцінка за </w:t>
      </w:r>
      <w:r w:rsidR="00E425BA">
        <w:rPr>
          <w:sz w:val="24"/>
        </w:rPr>
        <w:t>іспит</w:t>
      </w:r>
      <w:r>
        <w:rPr>
          <w:sz w:val="24"/>
        </w:rPr>
        <w:t xml:space="preserve"> не може бути меншою 24 балів для отримання загальної позитивн</w:t>
      </w:r>
      <w:r w:rsidR="005747E5">
        <w:rPr>
          <w:sz w:val="24"/>
        </w:rPr>
        <w:t xml:space="preserve">ої оцінки за курс. </w:t>
      </w:r>
    </w:p>
    <w:p w:rsidR="002379C2" w:rsidRPr="005747E5" w:rsidRDefault="00315C57" w:rsidP="005747E5">
      <w:pPr>
        <w:spacing w:before="120"/>
        <w:ind w:left="284"/>
        <w:jc w:val="both"/>
        <w:rPr>
          <w:rStyle w:val="a3"/>
          <w:sz w:val="24"/>
          <w:vertAlign w:val="baseline"/>
        </w:rPr>
      </w:pPr>
      <w:r w:rsidRPr="00315C57">
        <w:rPr>
          <w:sz w:val="24"/>
        </w:rPr>
        <w:t xml:space="preserve">Для студентів, які набрали сумарно меншу кількість балів ніж критично-розрахунковий мінімум – </w:t>
      </w:r>
      <w:r w:rsidR="00F751AD">
        <w:rPr>
          <w:sz w:val="24"/>
        </w:rPr>
        <w:t>36 балів</w:t>
      </w:r>
      <w:r w:rsidRPr="00315C57">
        <w:rPr>
          <w:sz w:val="24"/>
        </w:rPr>
        <w:t xml:space="preserve"> для отримання </w:t>
      </w:r>
      <w:r w:rsidR="00F751AD">
        <w:rPr>
          <w:sz w:val="24"/>
        </w:rPr>
        <w:t xml:space="preserve">допуску до </w:t>
      </w:r>
      <w:r w:rsidR="00E425BA">
        <w:rPr>
          <w:sz w:val="24"/>
        </w:rPr>
        <w:t>іспиту</w:t>
      </w:r>
      <w:r w:rsidRPr="00315C57">
        <w:rPr>
          <w:sz w:val="24"/>
        </w:rPr>
        <w:t xml:space="preserve"> обов’язково </w:t>
      </w:r>
      <w:r w:rsidR="00F751AD">
        <w:rPr>
          <w:sz w:val="24"/>
        </w:rPr>
        <w:t>слід пройти співбесіду з лектором, представити доопрацювання (форма узгоджується з лектором)</w:t>
      </w:r>
      <w:r w:rsidR="007B04D3">
        <w:rPr>
          <w:sz w:val="24"/>
        </w:rPr>
        <w:t xml:space="preserve">. </w:t>
      </w:r>
    </w:p>
    <w:p w:rsidR="00EA3A0F" w:rsidRPr="007C421C" w:rsidRDefault="00EA3A0F" w:rsidP="00EA3A0F">
      <w:pPr>
        <w:spacing w:before="120"/>
        <w:ind w:left="284" w:hanging="284"/>
        <w:jc w:val="both"/>
        <w:rPr>
          <w:bCs/>
          <w:i/>
          <w:color w:val="FF0000"/>
          <w:sz w:val="24"/>
        </w:rPr>
      </w:pPr>
      <w:r w:rsidRPr="007C421C">
        <w:rPr>
          <w:rStyle w:val="a3"/>
          <w:b/>
          <w:iCs/>
          <w:color w:val="FF0000"/>
          <w:sz w:val="32"/>
          <w:szCs w:val="32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 w:rsidRPr="0098081B">
        <w:rPr>
          <w:b/>
          <w:bCs/>
          <w:i/>
          <w:sz w:val="24"/>
        </w:rPr>
        <w:t xml:space="preserve"> </w:t>
      </w:r>
      <w:r w:rsidR="00A03F3A">
        <w:rPr>
          <w:b/>
          <w:bCs/>
          <w:i/>
          <w:sz w:val="24"/>
        </w:rPr>
        <w:t>Семінарськ</w:t>
      </w:r>
      <w:r w:rsidRPr="0098081B">
        <w:rPr>
          <w:b/>
          <w:bCs/>
          <w:i/>
          <w:sz w:val="24"/>
        </w:rPr>
        <w:t>і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а</w:t>
      </w:r>
      <w:r w:rsidRPr="00EC4E08">
        <w:rPr>
          <w:bCs/>
          <w:sz w:val="24"/>
        </w:rPr>
        <w:t xml:space="preserve"> бали накопичуються протягом</w:t>
      </w:r>
      <w:r>
        <w:rPr>
          <w:bCs/>
          <w:sz w:val="24"/>
        </w:rPr>
        <w:t xml:space="preserve"> усього</w:t>
      </w:r>
      <w:r w:rsidRPr="00EC4E08">
        <w:rPr>
          <w:bCs/>
          <w:sz w:val="24"/>
        </w:rPr>
        <w:t xml:space="preserve"> семестру.</w:t>
      </w:r>
    </w:p>
    <w:p w:rsidR="0098081B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1</w:t>
      </w:r>
      <w:r w:rsidRPr="00EC4E08">
        <w:rPr>
          <w:bCs/>
          <w:sz w:val="24"/>
        </w:rPr>
        <w:t xml:space="preserve"> виконується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 xml:space="preserve">студентами самостійно в межах </w:t>
      </w:r>
      <w:r w:rsidR="007B04D3">
        <w:rPr>
          <w:bCs/>
          <w:sz w:val="24"/>
        </w:rPr>
        <w:t>семінарського</w:t>
      </w:r>
      <w:r>
        <w:rPr>
          <w:bCs/>
          <w:sz w:val="24"/>
        </w:rPr>
        <w:t xml:space="preserve"> </w:t>
      </w:r>
      <w:r w:rsidR="00E425BA">
        <w:rPr>
          <w:bCs/>
          <w:sz w:val="24"/>
        </w:rPr>
        <w:t xml:space="preserve">заняття </w:t>
      </w:r>
      <w:r>
        <w:rPr>
          <w:bCs/>
          <w:sz w:val="24"/>
        </w:rPr>
        <w:t>після вивчення тем 1-</w:t>
      </w:r>
      <w:r w:rsidR="00B36199">
        <w:rPr>
          <w:bCs/>
          <w:sz w:val="24"/>
          <w:lang w:val="ru-RU"/>
        </w:rPr>
        <w:t>5</w:t>
      </w:r>
      <w:r w:rsidRPr="00EC4E08">
        <w:rPr>
          <w:bCs/>
          <w:sz w:val="24"/>
        </w:rPr>
        <w:t xml:space="preserve">.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2</w:t>
      </w:r>
      <w:r w:rsidRPr="00EC4E08">
        <w:rPr>
          <w:bCs/>
          <w:sz w:val="24"/>
        </w:rPr>
        <w:t xml:space="preserve"> виконується</w:t>
      </w:r>
      <w:r>
        <w:rPr>
          <w:bCs/>
          <w:sz w:val="24"/>
        </w:rPr>
        <w:t xml:space="preserve"> студентами самостійно</w:t>
      </w:r>
      <w:r w:rsidRPr="00EC4E08">
        <w:rPr>
          <w:bCs/>
          <w:sz w:val="24"/>
        </w:rPr>
        <w:t xml:space="preserve"> </w:t>
      </w:r>
      <w:r>
        <w:rPr>
          <w:bCs/>
          <w:sz w:val="24"/>
        </w:rPr>
        <w:t xml:space="preserve">в межах </w:t>
      </w:r>
      <w:r w:rsidR="007B04D3">
        <w:rPr>
          <w:bCs/>
          <w:sz w:val="24"/>
        </w:rPr>
        <w:t>семінарського</w:t>
      </w:r>
      <w:r>
        <w:rPr>
          <w:bCs/>
          <w:sz w:val="24"/>
        </w:rPr>
        <w:t xml:space="preserve"> </w:t>
      </w:r>
      <w:r w:rsidR="00E425BA">
        <w:rPr>
          <w:bCs/>
          <w:sz w:val="24"/>
        </w:rPr>
        <w:t xml:space="preserve">заняття </w:t>
      </w:r>
      <w:r>
        <w:rPr>
          <w:bCs/>
          <w:sz w:val="24"/>
        </w:rPr>
        <w:t>після вивчення т</w:t>
      </w:r>
      <w:r w:rsidRPr="00EC4E08">
        <w:rPr>
          <w:bCs/>
          <w:sz w:val="24"/>
        </w:rPr>
        <w:t xml:space="preserve">ем </w:t>
      </w:r>
      <w:r w:rsidR="00B36199">
        <w:rPr>
          <w:bCs/>
          <w:sz w:val="24"/>
          <w:lang w:val="ru-RU"/>
        </w:rPr>
        <w:t>6</w:t>
      </w:r>
      <w:r w:rsidRPr="00EC4E08">
        <w:rPr>
          <w:bCs/>
          <w:sz w:val="24"/>
        </w:rPr>
        <w:t>-</w:t>
      </w:r>
      <w:r>
        <w:rPr>
          <w:bCs/>
          <w:sz w:val="24"/>
        </w:rPr>
        <w:t>10.</w:t>
      </w:r>
    </w:p>
    <w:p w:rsidR="00D75E09" w:rsidRPr="00FA0BCB" w:rsidRDefault="00D75E09" w:rsidP="00EA3A0F">
      <w:pPr>
        <w:widowControl w:val="0"/>
        <w:spacing w:before="120"/>
        <w:jc w:val="both"/>
        <w:rPr>
          <w:bCs/>
          <w:i/>
          <w:sz w:val="24"/>
        </w:rPr>
      </w:pP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Pr="002065C5" w:rsidRDefault="00C76597" w:rsidP="00EA3A0F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ADC" w:rsidRPr="002065C5" w:rsidRDefault="00EA3A0F" w:rsidP="00164ADC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 Структура навчальної дисци</w:t>
      </w:r>
      <w:r w:rsidR="00A51710"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пліни</w:t>
      </w: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51710" w:rsidRPr="002065C5" w:rsidRDefault="00A51710" w:rsidP="00A51710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DA248F">
        <w:rPr>
          <w:b/>
          <w:i/>
          <w:sz w:val="24"/>
        </w:rPr>
        <w:t>практичн</w:t>
      </w:r>
      <w:r w:rsidRPr="00497462">
        <w:rPr>
          <w:b/>
          <w:i/>
          <w:sz w:val="24"/>
        </w:rPr>
        <w:t xml:space="preserve">их занять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4678"/>
        <w:gridCol w:w="1134"/>
        <w:gridCol w:w="1559"/>
        <w:gridCol w:w="1474"/>
      </w:tblGrid>
      <w:tr w:rsidR="00A51710" w:rsidRPr="00D74950" w:rsidTr="00D5091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5091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F751AD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  <w:r w:rsidR="00A51710" w:rsidRPr="00D74950">
              <w:rPr>
                <w:b/>
                <w:sz w:val="24"/>
              </w:rPr>
              <w:t xml:space="preserve"> заняття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4950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Самостійна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5" w:rsidRDefault="00A51710" w:rsidP="00DB6D70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DB6D70">
              <w:rPr>
                <w:b/>
                <w:i/>
                <w:sz w:val="24"/>
              </w:rPr>
              <w:t xml:space="preserve">Соціальна експертиза як вид аналітичної, оціночної </w:t>
            </w:r>
          </w:p>
          <w:p w:rsidR="00A51710" w:rsidRPr="00D74950" w:rsidRDefault="00DB6D70" w:rsidP="00DB6D7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та прогнозної діяльності» 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D70" w:rsidP="00DB6D7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Соціальна експертиза: поняття, мета, об</w:t>
            </w:r>
            <w:r>
              <w:rPr>
                <w:rFonts w:cs="Times New Roman"/>
                <w:sz w:val="24"/>
              </w:rPr>
              <w:t>'</w:t>
            </w:r>
            <w:r>
              <w:rPr>
                <w:sz w:val="24"/>
              </w:rPr>
              <w:t>єкти, сфери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E425BA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D70" w:rsidP="00DB6D70">
            <w:pPr>
              <w:rPr>
                <w:sz w:val="24"/>
              </w:rPr>
            </w:pPr>
            <w:r>
              <w:rPr>
                <w:sz w:val="24"/>
              </w:rPr>
              <w:t>Види та функції експертиз та їх функціональне призначення: інституційно-правові засади соціальної експертизи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D70" w:rsidP="00452CD5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  <w:r w:rsidR="00452CD5">
              <w:rPr>
                <w:sz w:val="24"/>
              </w:rPr>
              <w:t>і</w:t>
            </w:r>
            <w:r>
              <w:rPr>
                <w:sz w:val="24"/>
              </w:rPr>
              <w:t xml:space="preserve">заційно-методичні основи проведення соціальної експертизи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D70" w:rsidP="00DB6D70">
            <w:pPr>
              <w:rPr>
                <w:sz w:val="24"/>
              </w:rPr>
            </w:pPr>
            <w:r>
              <w:rPr>
                <w:sz w:val="24"/>
              </w:rPr>
              <w:t xml:space="preserve">Методи соціальної експертизи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C51" w:rsidRPr="00D74950" w:rsidTr="00D5091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50915" w:rsidP="00D5091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B6D70" w:rsidP="00DB6D70">
            <w:pPr>
              <w:rPr>
                <w:sz w:val="24"/>
              </w:rPr>
            </w:pPr>
            <w:r>
              <w:rPr>
                <w:sz w:val="24"/>
              </w:rPr>
              <w:t xml:space="preserve">Результати соціальної експертизи та їх </w:t>
            </w:r>
            <w:r w:rsidR="007E7ED8">
              <w:rPr>
                <w:sz w:val="24"/>
              </w:rPr>
              <w:t>надання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E425BA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1710" w:rsidRPr="00D74950" w:rsidTr="00D74950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5091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DB6D70">
            <w:pPr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850DE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5850DE">
              <w:rPr>
                <w:b/>
                <w:i/>
                <w:sz w:val="24"/>
              </w:rPr>
              <w:t>Теорія і практика соціального аудиту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5850DE" w:rsidP="00DB6A67">
            <w:pPr>
              <w:rPr>
                <w:sz w:val="24"/>
              </w:rPr>
            </w:pPr>
            <w:r w:rsidRPr="005850DE">
              <w:rPr>
                <w:sz w:val="24"/>
              </w:rPr>
              <w:t>Історія і теорія соціального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E425BA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5850DE" w:rsidP="00B75C51">
            <w:pPr>
              <w:rPr>
                <w:sz w:val="24"/>
              </w:rPr>
            </w:pPr>
            <w:r w:rsidRPr="005850DE">
              <w:rPr>
                <w:sz w:val="24"/>
              </w:rPr>
              <w:t>Міжнародні стандарти та методики соціального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5850DE" w:rsidP="00520178">
            <w:pPr>
              <w:jc w:val="both"/>
              <w:rPr>
                <w:sz w:val="24"/>
              </w:rPr>
            </w:pPr>
            <w:r w:rsidRPr="005850DE">
              <w:rPr>
                <w:sz w:val="24"/>
              </w:rPr>
              <w:t>Технологія соціального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5850DE" w:rsidP="00DB6A67">
            <w:pPr>
              <w:jc w:val="both"/>
              <w:rPr>
                <w:sz w:val="24"/>
              </w:rPr>
            </w:pPr>
            <w:r w:rsidRPr="005850DE">
              <w:rPr>
                <w:sz w:val="24"/>
              </w:rPr>
              <w:t>Аудит в системі соціальної відповідальності бізнесу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2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980F98" w:rsidRDefault="005850DE" w:rsidP="00DB6A67">
            <w:pPr>
              <w:jc w:val="both"/>
              <w:rPr>
                <w:sz w:val="24"/>
              </w:rPr>
            </w:pPr>
            <w:r w:rsidRPr="005850DE">
              <w:rPr>
                <w:sz w:val="24"/>
              </w:rPr>
              <w:t>Аудит в системі державного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E425BA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0" w:name="_GoBack"/>
            <w:bookmarkEnd w:id="0"/>
          </w:p>
        </w:tc>
      </w:tr>
      <w:tr w:rsidR="00A51710" w:rsidRPr="00D74950" w:rsidTr="00D74950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Модульна контрольна робота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5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 за модуль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5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902CE9" w:rsidRDefault="00A51710" w:rsidP="00A51710">
      <w:pPr>
        <w:ind w:firstLine="708"/>
        <w:jc w:val="both"/>
        <w:rPr>
          <w:b/>
          <w:sz w:val="22"/>
          <w:szCs w:val="22"/>
        </w:rPr>
      </w:pPr>
      <w:r w:rsidRPr="00902CE9">
        <w:rPr>
          <w:b/>
          <w:sz w:val="22"/>
          <w:szCs w:val="22"/>
        </w:rPr>
        <w:t xml:space="preserve">Форма підсумкового контролю - </w:t>
      </w:r>
      <w:r w:rsidR="00E425BA">
        <w:rPr>
          <w:b/>
          <w:sz w:val="22"/>
          <w:szCs w:val="22"/>
        </w:rPr>
        <w:t>іспит</w:t>
      </w:r>
    </w:p>
    <w:p w:rsidR="00A51710" w:rsidRPr="00DA248F" w:rsidRDefault="00A51710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 xml:space="preserve">Загальний обсяг дисципліни – </w:t>
      </w:r>
      <w:r w:rsidR="0052420C" w:rsidRPr="00DA248F">
        <w:rPr>
          <w:sz w:val="22"/>
          <w:szCs w:val="22"/>
        </w:rPr>
        <w:t>1</w:t>
      </w:r>
      <w:r w:rsidRPr="00DA248F">
        <w:rPr>
          <w:sz w:val="22"/>
          <w:szCs w:val="22"/>
        </w:rPr>
        <w:t>20 годин, в тому числі: лекції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Pr="00DA248F">
        <w:rPr>
          <w:sz w:val="22"/>
          <w:szCs w:val="22"/>
        </w:rPr>
        <w:t xml:space="preserve">0 годин; </w:t>
      </w:r>
    </w:p>
    <w:p w:rsidR="00A51710" w:rsidRPr="00DA248F" w:rsidRDefault="00F751AD" w:rsidP="00A5171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семінарські</w:t>
      </w:r>
      <w:r w:rsidR="00A51710" w:rsidRPr="00DA248F">
        <w:rPr>
          <w:sz w:val="22"/>
          <w:szCs w:val="22"/>
        </w:rPr>
        <w:t xml:space="preserve"> заняття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="00A51710" w:rsidRPr="00DA248F">
        <w:rPr>
          <w:sz w:val="22"/>
          <w:szCs w:val="22"/>
        </w:rPr>
        <w:t>0 годин;</w:t>
      </w:r>
      <w:r w:rsidR="000C5B7C" w:rsidRPr="00DA248F">
        <w:rPr>
          <w:sz w:val="22"/>
          <w:szCs w:val="22"/>
        </w:rPr>
        <w:t xml:space="preserve"> </w:t>
      </w:r>
      <w:r w:rsidR="00A51710" w:rsidRPr="00DA248F">
        <w:rPr>
          <w:sz w:val="22"/>
          <w:szCs w:val="22"/>
        </w:rPr>
        <w:t>самостійна робота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– 8</w:t>
      </w:r>
      <w:r w:rsidR="00A51710" w:rsidRPr="00DA248F">
        <w:rPr>
          <w:sz w:val="22"/>
          <w:szCs w:val="22"/>
        </w:rPr>
        <w:t>0 годин.</w:t>
      </w:r>
      <w:r w:rsidR="000C5B7C" w:rsidRPr="00DA248F">
        <w:rPr>
          <w:sz w:val="22"/>
          <w:szCs w:val="22"/>
        </w:rPr>
        <w:t xml:space="preserve"> </w:t>
      </w:r>
    </w:p>
    <w:p w:rsidR="0098081B" w:rsidRPr="002065C5" w:rsidRDefault="0098081B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>Основна:</w:t>
      </w:r>
    </w:p>
    <w:p w:rsidR="00D5084B" w:rsidRPr="009178EA" w:rsidRDefault="00D5084B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Бестужев-Лада И.В. Прогнозное обоснование социальных нововведений.</w:t>
      </w:r>
      <w:r w:rsidR="00E425BA">
        <w:rPr>
          <w:iCs/>
          <w:sz w:val="24"/>
        </w:rPr>
        <w:t xml:space="preserve"> </w:t>
      </w:r>
      <w:r w:rsidRPr="009178EA">
        <w:rPr>
          <w:iCs/>
          <w:sz w:val="24"/>
        </w:rPr>
        <w:t>– М.: Наука, 1993.</w:t>
      </w:r>
      <w:r w:rsidR="00936DA4" w:rsidRPr="009178EA">
        <w:rPr>
          <w:iCs/>
          <w:sz w:val="24"/>
        </w:rPr>
        <w:t xml:space="preserve"> – 232 с.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Вайс К.Г. Оцінювання: Методи дослідження програ</w:t>
      </w:r>
      <w:r w:rsidR="00E425BA">
        <w:rPr>
          <w:iCs/>
          <w:sz w:val="24"/>
        </w:rPr>
        <w:t>м та політики / Пер. з англ. Р. </w:t>
      </w:r>
      <w:r w:rsidRPr="009178EA">
        <w:rPr>
          <w:iCs/>
          <w:sz w:val="24"/>
        </w:rPr>
        <w:t>Ткачука та М. Корчинської; Наук. ред. пер. О. Кілієвич. – К.: Основи, 2000. – 671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Ведунг Е. Оцінювання державної політики і програм : навч. посіб. / Е. Ведунг; Пер. з англ. В.В. Шульга. - К. : Всеувито, 2003. - 350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Громадська експертиза та громадський моніторинг діяльності органів влади : навч. посіб. / Купрій В., Паливода Л. – К. : Макрос, 2011. – 200 с.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Дятченко Л.Я. Социальные технологии в управлении общественными процессами. - Москва-Белгород: ЦСТ, 1993.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Мазурик О. В. Соціальний аудит: теоретичні засади та технологія застосування в Україні : [монографія] / О. В. Мазурик. – Донецьк: Східний видавничий дім, 2013. – 316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Оценка программ: методология и практика</w:t>
      </w:r>
      <w:r w:rsidR="00E425BA">
        <w:rPr>
          <w:iCs/>
          <w:sz w:val="24"/>
        </w:rPr>
        <w:t>. / Под ред. А. И. Кузьмина, Р. </w:t>
      </w:r>
      <w:r w:rsidRPr="009178EA">
        <w:rPr>
          <w:iCs/>
          <w:sz w:val="24"/>
        </w:rPr>
        <w:t xml:space="preserve">О'Салливан, Н. А. Кошелевой. – М.: Издательство «Престо-РК», 2009. – 396 с. </w:t>
      </w:r>
    </w:p>
    <w:p w:rsidR="00704418" w:rsidRPr="009178EA" w:rsidRDefault="00704418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Социальная экспертиза: Учебное пособие. / Т.В.Власова, М.Д. Сущинская</w:t>
      </w:r>
      <w:r w:rsidR="00250000">
        <w:rPr>
          <w:iCs/>
          <w:sz w:val="24"/>
        </w:rPr>
        <w:t xml:space="preserve">. </w:t>
      </w:r>
      <w:r w:rsidRPr="009178EA">
        <w:rPr>
          <w:iCs/>
          <w:sz w:val="24"/>
        </w:rPr>
        <w:t>– СПб.: Изд-во СПбГУЭФ, 2009.</w:t>
      </w:r>
      <w:r w:rsidR="00250000">
        <w:rPr>
          <w:iCs/>
          <w:sz w:val="24"/>
        </w:rPr>
        <w:t xml:space="preserve"> </w:t>
      </w:r>
      <w:r w:rsidRPr="009178EA">
        <w:rPr>
          <w:iCs/>
          <w:sz w:val="24"/>
        </w:rPr>
        <w:t>– 152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Социальный аудит: учебное пособие / под об</w:t>
      </w:r>
      <w:r w:rsidR="00E425BA">
        <w:rPr>
          <w:iCs/>
          <w:sz w:val="24"/>
        </w:rPr>
        <w:t>щ. редакцией д.э.н., проф. А.А. </w:t>
      </w:r>
      <w:r w:rsidRPr="009178EA">
        <w:rPr>
          <w:iCs/>
          <w:sz w:val="24"/>
        </w:rPr>
        <w:t xml:space="preserve">Шулуса, д.э.н., проф. Ю.Н. Попова. – М.: Издательский дом «АТИСО», 2008. – 620 с.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Шлях до результатів: планування та проведення ефективних оцінювань розвитку. – Морра Імас Л.Дж., Ріст Р.К. – К.: МБФ «Міжнародний Альянс з ВІЛ/СНІД в Україні», 2015. – 580 с.</w:t>
      </w:r>
    </w:p>
    <w:p w:rsidR="00E9353A" w:rsidRPr="00E9353A" w:rsidRDefault="00E9353A" w:rsidP="00E9353A">
      <w:pPr>
        <w:ind w:firstLine="709"/>
        <w:jc w:val="both"/>
        <w:rPr>
          <w:iCs/>
          <w:sz w:val="24"/>
        </w:rPr>
      </w:pP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 xml:space="preserve">Додаткова: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Алиев Ф. А. Методика проведения социального аудита на предприятии [Электронный ресурс] / Ф. А. Алиев // «Глобекси». Интернет-журнал ИМОИП АТиСО. </w:t>
      </w:r>
      <w:r w:rsidR="007E7ED8" w:rsidRPr="009178EA">
        <w:rPr>
          <w:iCs/>
          <w:sz w:val="24"/>
        </w:rPr>
        <w:t>–</w:t>
      </w:r>
      <w:r w:rsidRPr="009178EA">
        <w:rPr>
          <w:iCs/>
          <w:sz w:val="24"/>
        </w:rPr>
        <w:t xml:space="preserve"> М., 2007. – Режим доступа к журн.: </w:t>
      </w:r>
      <w:hyperlink r:id="rId8" w:history="1">
        <w:r w:rsidR="00D5084B" w:rsidRPr="009178EA">
          <w:rPr>
            <w:rStyle w:val="ad"/>
            <w:iCs/>
            <w:sz w:val="24"/>
          </w:rPr>
          <w:t>http://www.globecsi.ru/Articles/2007/Aliev.pdf</w:t>
        </w:r>
      </w:hyperlink>
      <w:r w:rsidR="00D5084B" w:rsidRPr="009178EA">
        <w:rPr>
          <w:iCs/>
          <w:sz w:val="24"/>
        </w:rPr>
        <w:t xml:space="preserve"> </w:t>
      </w:r>
      <w:r w:rsidRPr="009178EA">
        <w:rPr>
          <w:iCs/>
          <w:sz w:val="24"/>
        </w:rPr>
        <w:t xml:space="preserve">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Андрющенко А.І. Соціальний аудит як механізм оптимізації управління розвитком соціальної сфери // Вісник Харківського національного університету імені В.Н. Каразіна «Соціологічне дослідження сучасного суспільства: методологія, теорія, методи». – 2008. – № 800. – С. 86-88.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lastRenderedPageBreak/>
        <w:t xml:space="preserve">Буковинська М.П. Соціальна звітність і соціальний аудит: інструменти управління корпораціями. [Електронний ресурс]. – Вісник Хмельницького національного університету 2010, № 4, T. 1. – С. 110-114. – Режим доступу: http://www.nbuv.gov.ua/portal/ Soc_Gum/Vchnu_ekon/2010_4_1/110-114.pdf </w:t>
      </w:r>
      <w:r w:rsidR="00D5084B" w:rsidRPr="009178EA">
        <w:rPr>
          <w:iCs/>
          <w:sz w:val="24"/>
        </w:rPr>
        <w:t xml:space="preserve"> </w:t>
      </w:r>
      <w:r w:rsidRPr="009178EA">
        <w:rPr>
          <w:iCs/>
          <w:sz w:val="24"/>
        </w:rPr>
        <w:t>– Назва з екрану.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Васильева Е.И., Зерчанинова  Социальный аудит профессиональной компетентности государственных служащих // Вопросы управления. – 2012. - №4. – С.1-19. [Электронный ресурс]. – Режим доступа:  </w:t>
      </w:r>
      <w:hyperlink r:id="rId9" w:history="1">
        <w:r w:rsidR="0074571E" w:rsidRPr="009178EA">
          <w:rPr>
            <w:rStyle w:val="ad"/>
            <w:iCs/>
            <w:sz w:val="24"/>
          </w:rPr>
          <w:t>http://vestnik.uapa.ru/en/issue/2012/04/06/</w:t>
        </w:r>
      </w:hyperlink>
      <w:r w:rsidR="0074571E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Визгалов Д.В. Методы оценки муниципальных программ. — М.: Фонд "Институт экономики города", 2004. – 108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Гончаров А. А. Гражданский контроль над органами власти / А. А. Гончаров. – М.: Издательство «Весь мир», 2010. – 224 с.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Громадська експертиза діяльності органів виконавчої влади в Україні: організація та проведення: практ. посіб. / О.В.Літвінов, О.В.Тинкован, Н.М.Літвінова (та ін.); за заг. ред. О.В.Літвінова. – Д.: МОНОЛІТ, 2010. – 180 с. [Електронний ресурс]. – Режим доступу : </w:t>
      </w:r>
      <w:hyperlink r:id="rId10" w:history="1">
        <w:r w:rsidR="00D5084B" w:rsidRPr="009178EA">
          <w:rPr>
            <w:rStyle w:val="ad"/>
            <w:iCs/>
            <w:sz w:val="24"/>
          </w:rPr>
          <w:t>http://ngoexpert.in.ua/documents/141_DCECRP_POSIB.pdf</w:t>
        </w:r>
      </w:hyperlink>
      <w:r w:rsidR="00D5084B" w:rsidRPr="009178EA">
        <w:rPr>
          <w:iCs/>
          <w:sz w:val="24"/>
        </w:rPr>
        <w:t xml:space="preserve"> </w:t>
      </w:r>
      <w:r w:rsidRPr="009178EA">
        <w:rPr>
          <w:iCs/>
          <w:sz w:val="24"/>
        </w:rPr>
        <w:t>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Громадський моніторинг Державної програми з утвердження гендерної рівності в українському суспільстві (до 2010 р.) / Жіночий консорціум України. – К., 2011. – 68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Делез Ж. Общество контроля [Электронный ресурс]. – Режим доступа:  </w:t>
      </w:r>
      <w:hyperlink r:id="rId11" w:history="1">
        <w:r w:rsidR="00D5084B" w:rsidRPr="009178EA">
          <w:rPr>
            <w:rStyle w:val="ad"/>
            <w:iCs/>
            <w:sz w:val="24"/>
          </w:rPr>
          <w:t>http://www.irms.ru/delez.html</w:t>
        </w:r>
      </w:hyperlink>
      <w:r w:rsidR="00D5084B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Егорышев С. В. Социальный аудит органов внутренних дел: понятие и возможности [Электронный ресурс] / С. В. Егорышев, Н. В. Егорышева // Евразийский юридический журнал. – № 7 (26). 2010. – Режим доступа к журн.: // </w:t>
      </w:r>
      <w:hyperlink r:id="rId12" w:history="1">
        <w:r w:rsidR="00D5084B" w:rsidRPr="009178EA">
          <w:rPr>
            <w:rStyle w:val="ad"/>
            <w:iCs/>
            <w:sz w:val="24"/>
          </w:rPr>
          <w:t>http://www.eurasialaw.ru/index.php?option=com_jcontentplus&amp;view=article&amp;id=1062:-7-26-2010-&amp;catid=154:2010-08-18-06-27-10&amp;Itemid=196</w:t>
        </w:r>
      </w:hyperlink>
      <w:r w:rsidR="00D5084B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Енчева З. В. Европейские критерии социального аудита в Болгарии : прогнозы и тенденции [Электронный ресурс]. // Вестник ВЭГУ. № 3 (35). – С. 100-102– Режим доступа : </w:t>
      </w:r>
      <w:hyperlink r:id="rId13" w:history="1">
        <w:r w:rsidR="00D5084B" w:rsidRPr="009178EA">
          <w:rPr>
            <w:rStyle w:val="ad"/>
            <w:iCs/>
            <w:sz w:val="24"/>
          </w:rPr>
          <w:t>http://www.work.vegu.ru/vegu/vestnik/DocLib/Енчева.pdf</w:t>
        </w:r>
      </w:hyperlink>
      <w:r w:rsidR="00D5084B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Зерчанинова Т.Е. Процедура социального аудита деятельности органов местного самоуправления // Социум и власть. 2010. – №4. – С.21-25.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Зерчанинова Т. Е. Социальный аудит государственной региональной молодежной политики. Монография. / Т. Е. Зерчанинова, Е. В. Позднякова.  - Екатеринбург : УрИ РАНХИГС, 2012. - 175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Каптерев А.И. Социальный аудит: бизнес лицом к человеку. – М.: «Литера», 2010. – 284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Катихін Є.О. Соціальний аудит в Україні: історичні тенденції, сучасний стан, виклики  та необхідність розвитку // Статистика України 2011, № 1. – С. 77-81.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Тер-Акопьян В.А. Социальный аудит и социальное регулирование: монография / В. А. Тер-Акопьян; отв. ред. Ю. Г. Волков. – М. : Вузовская книга, 2011. – 256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Тульчинский Г. Л. Социальный аудит и гуманитарная экспертиза: проблема институционализации [Электронный ресурс]. – Режим доступа: </w:t>
      </w:r>
      <w:hyperlink r:id="rId14" w:history="1">
        <w:r w:rsidR="00D5084B" w:rsidRPr="009178EA">
          <w:rPr>
            <w:rStyle w:val="ad"/>
            <w:iCs/>
            <w:sz w:val="24"/>
          </w:rPr>
          <w:t>http://viperson.ru/articles/tulchinskiy-g-l-sotsialnyy-audit-i-gumanitarnaya-ekspertiza-problema-institutsionalizatsii</w:t>
        </w:r>
      </w:hyperlink>
      <w:r w:rsidR="00D5084B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Фролов Д.Ю. О некоторых особенностях социального аудита на уровне региона [Електронни</w:t>
      </w:r>
      <w:r w:rsidR="009178EA" w:rsidRPr="009178EA">
        <w:rPr>
          <w:iCs/>
          <w:sz w:val="24"/>
        </w:rPr>
        <w:t>й ресурс] // Глобэкси. – 2008. -</w:t>
      </w:r>
      <w:r w:rsidRPr="009178EA">
        <w:rPr>
          <w:iCs/>
          <w:sz w:val="24"/>
        </w:rPr>
        <w:t xml:space="preserve"> Режим доступу до журн.: // </w:t>
      </w:r>
      <w:hyperlink r:id="rId15" w:history="1">
        <w:r w:rsidR="00D5084B" w:rsidRPr="009178EA">
          <w:rPr>
            <w:rStyle w:val="ad"/>
            <w:iCs/>
            <w:sz w:val="24"/>
          </w:rPr>
          <w:t>http://www.globecsi.ru/Articles/2008/Frolov.pdf</w:t>
        </w:r>
      </w:hyperlink>
      <w:r w:rsidR="00D5084B" w:rsidRPr="009178EA">
        <w:rPr>
          <w:iCs/>
          <w:sz w:val="24"/>
        </w:rPr>
        <w:t xml:space="preserve"> </w:t>
      </w:r>
      <w:r w:rsidRPr="009178EA">
        <w:rPr>
          <w:iCs/>
          <w:sz w:val="24"/>
        </w:rPr>
        <w:t xml:space="preserve">. </w:t>
      </w:r>
      <w:r w:rsidR="00D5084B" w:rsidRPr="009178EA">
        <w:rPr>
          <w:iCs/>
          <w:sz w:val="24"/>
        </w:rPr>
        <w:t xml:space="preserve"> </w:t>
      </w:r>
    </w:p>
    <w:p w:rsidR="009178EA" w:rsidRPr="009178EA" w:rsidRDefault="009178E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Чернов С.В. Удосконалення методології соціальної експертизи публічних проектів у регіональному управлінні </w:t>
      </w:r>
      <w:r w:rsidRPr="009178EA">
        <w:rPr>
          <w:rFonts w:cs="Times New Roman"/>
          <w:iCs/>
          <w:sz w:val="24"/>
        </w:rPr>
        <w:t>[</w:t>
      </w:r>
      <w:r w:rsidRPr="009178EA">
        <w:rPr>
          <w:iCs/>
          <w:sz w:val="24"/>
        </w:rPr>
        <w:t>Електронний ресурс</w:t>
      </w:r>
      <w:r w:rsidRPr="009178EA">
        <w:rPr>
          <w:rFonts w:cs="Times New Roman"/>
          <w:iCs/>
          <w:sz w:val="24"/>
        </w:rPr>
        <w:t>]</w:t>
      </w:r>
      <w:r w:rsidRPr="009178EA">
        <w:rPr>
          <w:iCs/>
          <w:sz w:val="24"/>
        </w:rPr>
        <w:t>. – Режим доступу:</w:t>
      </w:r>
      <w:r w:rsidRPr="00936DA4">
        <w:t xml:space="preserve"> </w:t>
      </w:r>
      <w:hyperlink r:id="rId16" w:history="1">
        <w:r w:rsidRPr="009178EA">
          <w:rPr>
            <w:rStyle w:val="ad"/>
            <w:iCs/>
            <w:sz w:val="24"/>
          </w:rPr>
          <w:t>http://www.kbuapa.kharkov.ua/e-book/db/2017-1/doc/5/01.pdf</w:t>
        </w:r>
      </w:hyperlink>
      <w:r w:rsidRPr="009178EA">
        <w:rPr>
          <w:iCs/>
          <w:sz w:val="24"/>
        </w:rPr>
        <w:t xml:space="preserve"> </w:t>
      </w:r>
    </w:p>
    <w:p w:rsidR="00D5084B" w:rsidRPr="009178EA" w:rsidRDefault="00D5084B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  <w:lang w:val="ru-RU"/>
        </w:rPr>
      </w:pPr>
      <w:r w:rsidRPr="009178EA">
        <w:rPr>
          <w:iCs/>
          <w:sz w:val="24"/>
        </w:rPr>
        <w:t>Экспертиза в современном мире: от знания к деятельности / Под ред. Г.В. Иванченко, Д.А. Леонтьева.– М.: Смысл, 2006.</w:t>
      </w:r>
      <w:r w:rsidR="0074571E" w:rsidRPr="009178EA">
        <w:rPr>
          <w:iCs/>
          <w:sz w:val="24"/>
        </w:rPr>
        <w:t xml:space="preserve"> </w:t>
      </w:r>
      <w:r w:rsidR="0074571E" w:rsidRPr="009178EA">
        <w:rPr>
          <w:rFonts w:cs="Times New Roman"/>
          <w:iCs/>
          <w:sz w:val="24"/>
        </w:rPr>
        <w:t>[</w:t>
      </w:r>
      <w:r w:rsidR="0074571E" w:rsidRPr="009178EA">
        <w:rPr>
          <w:iCs/>
          <w:sz w:val="24"/>
        </w:rPr>
        <w:t>Електронний ресурс</w:t>
      </w:r>
      <w:r w:rsidR="0074571E" w:rsidRPr="009178EA">
        <w:rPr>
          <w:rFonts w:cs="Times New Roman"/>
          <w:iCs/>
          <w:sz w:val="24"/>
        </w:rPr>
        <w:t>]</w:t>
      </w:r>
      <w:r w:rsidR="0074571E" w:rsidRPr="009178EA">
        <w:rPr>
          <w:iCs/>
          <w:sz w:val="24"/>
        </w:rPr>
        <w:t xml:space="preserve">. – </w:t>
      </w:r>
      <w:r w:rsidR="0074571E" w:rsidRPr="009178EA">
        <w:rPr>
          <w:iCs/>
          <w:sz w:val="24"/>
          <w:lang w:val="ru-RU"/>
        </w:rPr>
        <w:t xml:space="preserve">Режим доступу: </w:t>
      </w:r>
      <w:hyperlink r:id="rId17" w:history="1">
        <w:r w:rsidR="0074571E" w:rsidRPr="009178EA">
          <w:rPr>
            <w:rStyle w:val="ad"/>
            <w:iCs/>
            <w:sz w:val="24"/>
            <w:lang w:val="ru-RU"/>
          </w:rPr>
          <w:t>https://books.google.com.ua/books?isbn=5457450236</w:t>
        </w:r>
      </w:hyperlink>
      <w:r w:rsidR="0074571E" w:rsidRPr="009178EA">
        <w:rPr>
          <w:iCs/>
          <w:sz w:val="24"/>
          <w:lang w:val="ru-RU"/>
        </w:rPr>
        <w:t xml:space="preserve"> </w:t>
      </w:r>
    </w:p>
    <w:p w:rsidR="00170F71" w:rsidRPr="00E9353A" w:rsidRDefault="00170F71" w:rsidP="00354890">
      <w:pPr>
        <w:ind w:firstLine="709"/>
        <w:jc w:val="both"/>
        <w:rPr>
          <w:rFonts w:cs="Times New Roman"/>
          <w:sz w:val="24"/>
        </w:rPr>
      </w:pPr>
    </w:p>
    <w:sectPr w:rsidR="00170F71" w:rsidRPr="00E9353A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DE" w:rsidRDefault="000A43DE">
      <w:r>
        <w:separator/>
      </w:r>
    </w:p>
  </w:endnote>
  <w:endnote w:type="continuationSeparator" w:id="0">
    <w:p w:rsidR="000A43DE" w:rsidRDefault="000A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12" w:rsidRDefault="006B1212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1212" w:rsidRDefault="006B1212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12" w:rsidRDefault="006B1212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25BA">
      <w:rPr>
        <w:rStyle w:val="a6"/>
        <w:noProof/>
      </w:rPr>
      <w:t>6</w:t>
    </w:r>
    <w:r>
      <w:rPr>
        <w:rStyle w:val="a6"/>
      </w:rPr>
      <w:fldChar w:fldCharType="end"/>
    </w:r>
  </w:p>
  <w:p w:rsidR="006B1212" w:rsidRDefault="006B1212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DE" w:rsidRDefault="000A43DE">
      <w:r>
        <w:separator/>
      </w:r>
    </w:p>
  </w:footnote>
  <w:footnote w:type="continuationSeparator" w:id="0">
    <w:p w:rsidR="000A43DE" w:rsidRDefault="000A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92C0F"/>
    <w:multiLevelType w:val="hybridMultilevel"/>
    <w:tmpl w:val="DB062B34"/>
    <w:lvl w:ilvl="0" w:tplc="D856EC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7">
    <w:nsid w:val="60B37481"/>
    <w:multiLevelType w:val="hybridMultilevel"/>
    <w:tmpl w:val="9398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00CB3"/>
    <w:multiLevelType w:val="hybridMultilevel"/>
    <w:tmpl w:val="E2B272E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0F"/>
    <w:rsid w:val="00006424"/>
    <w:rsid w:val="00022B51"/>
    <w:rsid w:val="00024430"/>
    <w:rsid w:val="000374AD"/>
    <w:rsid w:val="00057529"/>
    <w:rsid w:val="000A43DE"/>
    <w:rsid w:val="000B7B92"/>
    <w:rsid w:val="000C5380"/>
    <w:rsid w:val="000C5B7C"/>
    <w:rsid w:val="000E611F"/>
    <w:rsid w:val="000F53D5"/>
    <w:rsid w:val="001104FD"/>
    <w:rsid w:val="001224E2"/>
    <w:rsid w:val="00133931"/>
    <w:rsid w:val="001551F5"/>
    <w:rsid w:val="00161CA9"/>
    <w:rsid w:val="00164ADC"/>
    <w:rsid w:val="00170F71"/>
    <w:rsid w:val="001A0DB3"/>
    <w:rsid w:val="001D11AD"/>
    <w:rsid w:val="001D64FD"/>
    <w:rsid w:val="001E224B"/>
    <w:rsid w:val="001F2078"/>
    <w:rsid w:val="002065C5"/>
    <w:rsid w:val="002379C2"/>
    <w:rsid w:val="00250000"/>
    <w:rsid w:val="002B21C5"/>
    <w:rsid w:val="002C38A2"/>
    <w:rsid w:val="002D2E7D"/>
    <w:rsid w:val="002F3EE9"/>
    <w:rsid w:val="00315C57"/>
    <w:rsid w:val="00317F65"/>
    <w:rsid w:val="00344379"/>
    <w:rsid w:val="00354890"/>
    <w:rsid w:val="00354B58"/>
    <w:rsid w:val="00357B06"/>
    <w:rsid w:val="0036445D"/>
    <w:rsid w:val="00377A44"/>
    <w:rsid w:val="00385A95"/>
    <w:rsid w:val="003A3DB4"/>
    <w:rsid w:val="0040176B"/>
    <w:rsid w:val="00414473"/>
    <w:rsid w:val="0043079C"/>
    <w:rsid w:val="00445B7A"/>
    <w:rsid w:val="00452CD5"/>
    <w:rsid w:val="00460544"/>
    <w:rsid w:val="004718FF"/>
    <w:rsid w:val="004826FB"/>
    <w:rsid w:val="00482DD3"/>
    <w:rsid w:val="00497462"/>
    <w:rsid w:val="004C6074"/>
    <w:rsid w:val="004F77ED"/>
    <w:rsid w:val="00511A87"/>
    <w:rsid w:val="00520178"/>
    <w:rsid w:val="00520297"/>
    <w:rsid w:val="00522FFC"/>
    <w:rsid w:val="0052344E"/>
    <w:rsid w:val="0052420C"/>
    <w:rsid w:val="005747E5"/>
    <w:rsid w:val="0057508D"/>
    <w:rsid w:val="005850DE"/>
    <w:rsid w:val="005E40D4"/>
    <w:rsid w:val="005E7ED1"/>
    <w:rsid w:val="00656542"/>
    <w:rsid w:val="0067634E"/>
    <w:rsid w:val="006866F7"/>
    <w:rsid w:val="006A61A9"/>
    <w:rsid w:val="006B1212"/>
    <w:rsid w:val="006F0C99"/>
    <w:rsid w:val="00704418"/>
    <w:rsid w:val="00726F06"/>
    <w:rsid w:val="00731193"/>
    <w:rsid w:val="0074571E"/>
    <w:rsid w:val="007719F5"/>
    <w:rsid w:val="00774095"/>
    <w:rsid w:val="00781AE8"/>
    <w:rsid w:val="0078415C"/>
    <w:rsid w:val="007B04D3"/>
    <w:rsid w:val="007C421C"/>
    <w:rsid w:val="007D1F43"/>
    <w:rsid w:val="007D5818"/>
    <w:rsid w:val="007E7ED8"/>
    <w:rsid w:val="00821F06"/>
    <w:rsid w:val="008272EF"/>
    <w:rsid w:val="008612CF"/>
    <w:rsid w:val="008A6ADC"/>
    <w:rsid w:val="008B6416"/>
    <w:rsid w:val="008D28A9"/>
    <w:rsid w:val="008F507B"/>
    <w:rsid w:val="00900563"/>
    <w:rsid w:val="00902CE9"/>
    <w:rsid w:val="009159E8"/>
    <w:rsid w:val="009178EA"/>
    <w:rsid w:val="00924F3F"/>
    <w:rsid w:val="00936DA4"/>
    <w:rsid w:val="00936EC9"/>
    <w:rsid w:val="0098081B"/>
    <w:rsid w:val="00980F98"/>
    <w:rsid w:val="00992058"/>
    <w:rsid w:val="009A1A30"/>
    <w:rsid w:val="009E63A2"/>
    <w:rsid w:val="00A015B7"/>
    <w:rsid w:val="00A03F3A"/>
    <w:rsid w:val="00A51710"/>
    <w:rsid w:val="00A56309"/>
    <w:rsid w:val="00A85DD8"/>
    <w:rsid w:val="00A92365"/>
    <w:rsid w:val="00A9516D"/>
    <w:rsid w:val="00AA1FB8"/>
    <w:rsid w:val="00AE317C"/>
    <w:rsid w:val="00AE41BE"/>
    <w:rsid w:val="00AF2C83"/>
    <w:rsid w:val="00B211E4"/>
    <w:rsid w:val="00B36199"/>
    <w:rsid w:val="00B36B7F"/>
    <w:rsid w:val="00B61DE1"/>
    <w:rsid w:val="00B6204D"/>
    <w:rsid w:val="00B663DD"/>
    <w:rsid w:val="00B6692F"/>
    <w:rsid w:val="00B75C51"/>
    <w:rsid w:val="00BB2586"/>
    <w:rsid w:val="00BF0874"/>
    <w:rsid w:val="00C11D00"/>
    <w:rsid w:val="00C17FCE"/>
    <w:rsid w:val="00C41702"/>
    <w:rsid w:val="00C473ED"/>
    <w:rsid w:val="00C50EA7"/>
    <w:rsid w:val="00C60B0E"/>
    <w:rsid w:val="00C662C2"/>
    <w:rsid w:val="00C76597"/>
    <w:rsid w:val="00C87FC8"/>
    <w:rsid w:val="00C96A09"/>
    <w:rsid w:val="00CA67BE"/>
    <w:rsid w:val="00CC0850"/>
    <w:rsid w:val="00CC3F9D"/>
    <w:rsid w:val="00CD2C0B"/>
    <w:rsid w:val="00D029C4"/>
    <w:rsid w:val="00D246A7"/>
    <w:rsid w:val="00D362D9"/>
    <w:rsid w:val="00D42B35"/>
    <w:rsid w:val="00D5084B"/>
    <w:rsid w:val="00D50915"/>
    <w:rsid w:val="00D64300"/>
    <w:rsid w:val="00D656ED"/>
    <w:rsid w:val="00D70C83"/>
    <w:rsid w:val="00D74950"/>
    <w:rsid w:val="00D75E09"/>
    <w:rsid w:val="00DA248F"/>
    <w:rsid w:val="00DA687B"/>
    <w:rsid w:val="00DB6A67"/>
    <w:rsid w:val="00DB6D70"/>
    <w:rsid w:val="00DC0F39"/>
    <w:rsid w:val="00E00ED8"/>
    <w:rsid w:val="00E01C35"/>
    <w:rsid w:val="00E03790"/>
    <w:rsid w:val="00E15140"/>
    <w:rsid w:val="00E36D02"/>
    <w:rsid w:val="00E425BA"/>
    <w:rsid w:val="00E47039"/>
    <w:rsid w:val="00E73109"/>
    <w:rsid w:val="00E8505E"/>
    <w:rsid w:val="00E85388"/>
    <w:rsid w:val="00E90964"/>
    <w:rsid w:val="00E9353A"/>
    <w:rsid w:val="00EA3A0F"/>
    <w:rsid w:val="00ED7A35"/>
    <w:rsid w:val="00EF2E9E"/>
    <w:rsid w:val="00F751AD"/>
    <w:rsid w:val="00FC36C7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ecsi.ru/Articles/2007/Aliev.pdf" TargetMode="External"/><Relationship Id="rId13" Type="http://schemas.openxmlformats.org/officeDocument/2006/relationships/hyperlink" Target="http://www.work.vegu.ru/vegu/vestnik/DocLib/&#1045;&#1085;&#1095;&#1077;&#1074;&#1072;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urasialaw.ru/index.php?option=com_jcontentplus&amp;view=article&amp;id=1062:-7-26-2010-&amp;catid=154:2010-08-18-06-27-10&amp;Itemid=196" TargetMode="External"/><Relationship Id="rId17" Type="http://schemas.openxmlformats.org/officeDocument/2006/relationships/hyperlink" Target="https://books.google.com.ua/books?isbn=545745023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buapa.kharkov.ua/e-book/db/2017-1/doc/5/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rms.ru/dele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obecsi.ru/Articles/2008/Frolov.pdf" TargetMode="External"/><Relationship Id="rId10" Type="http://schemas.openxmlformats.org/officeDocument/2006/relationships/hyperlink" Target="http://ngoexpert.in.ua/documents/141_DCECRP_POSIB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estnik.uapa.ru/en/issue/2012/04/06/" TargetMode="External"/><Relationship Id="rId14" Type="http://schemas.openxmlformats.org/officeDocument/2006/relationships/hyperlink" Target="http://viperson.ru/articles/tulchinskiy-g-l-sotsialnyy-audit-i-gumanitarnaya-ekspertiza-problema-institutsional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7</Pages>
  <Words>1954</Words>
  <Characters>14093</Characters>
  <Application>Microsoft Office Word</Application>
  <DocSecurity>0</DocSecurity>
  <Lines>1565</Lines>
  <Paragraphs>943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6</cp:revision>
  <dcterms:created xsi:type="dcterms:W3CDTF">2018-05-04T13:58:00Z</dcterms:created>
  <dcterms:modified xsi:type="dcterms:W3CDTF">2018-06-18T19:06:00Z</dcterms:modified>
</cp:coreProperties>
</file>